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2A" w:rsidRPr="0074495D" w:rsidRDefault="0064182A" w:rsidP="0064182A">
      <w:pPr>
        <w:pStyle w:val="3"/>
        <w:spacing w:before="0" w:beforeAutospacing="0" w:after="0" w:afterAutospacing="0" w:line="360" w:lineRule="auto"/>
        <w:ind w:left="567"/>
        <w:rPr>
          <w:szCs w:val="28"/>
        </w:rPr>
      </w:pPr>
      <w:bookmarkStart w:id="0" w:name="_Toc410654079"/>
      <w:bookmarkStart w:id="1" w:name="_Toc409691738"/>
      <w:bookmarkStart w:id="2" w:name="_Toc414553288"/>
      <w:r w:rsidRPr="0074495D">
        <w:rPr>
          <w:szCs w:val="28"/>
        </w:rPr>
        <w:t>3.2.3. Финансово-экономические условия реализации образовательной</w:t>
      </w:r>
      <w:bookmarkStart w:id="3" w:name="_Toc410654080"/>
      <w:bookmarkEnd w:id="0"/>
      <w:r>
        <w:rPr>
          <w:szCs w:val="28"/>
          <w:lang w:val="ru-RU"/>
        </w:rPr>
        <w:t xml:space="preserve">  </w:t>
      </w:r>
      <w:r w:rsidRPr="0074495D">
        <w:rPr>
          <w:szCs w:val="28"/>
        </w:rPr>
        <w:t>программы основного общего образования</w:t>
      </w:r>
      <w:bookmarkEnd w:id="1"/>
      <w:bookmarkEnd w:id="2"/>
      <w:bookmarkEnd w:id="3"/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образовательной организации. 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  <w:proofErr w:type="gramEnd"/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Финансовое обеспечение реализации образовательной программы основного общего образования бюджетного (автономного)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услуг, казенного учреждения – на основании бюджетной сметы.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</w:t>
      </w:r>
      <w:proofErr w:type="gramStart"/>
      <w:r w:rsidRPr="0074495D">
        <w:rPr>
          <w:rFonts w:ascii="Times New Roman" w:hAnsi="Times New Roman"/>
          <w:sz w:val="28"/>
          <w:szCs w:val="28"/>
        </w:rPr>
        <w:t>дств в г</w:t>
      </w:r>
      <w:proofErr w:type="gramEnd"/>
      <w:r w:rsidRPr="0074495D">
        <w:rPr>
          <w:rFonts w:ascii="Times New Roman" w:hAnsi="Times New Roman"/>
          <w:sz w:val="28"/>
          <w:szCs w:val="28"/>
        </w:rPr>
        <w:t>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64182A" w:rsidRPr="0074495D" w:rsidRDefault="0064182A" w:rsidP="0064182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расходы на оплату труда работников, реализующих образовательную программу основного общего образования;</w:t>
      </w:r>
    </w:p>
    <w:p w:rsidR="0064182A" w:rsidRPr="0074495D" w:rsidRDefault="0064182A" w:rsidP="0064182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расходы на приобретение учебников и учебных пособий, средств обучения, игр, игрушек;</w:t>
      </w:r>
    </w:p>
    <w:p w:rsidR="0064182A" w:rsidRPr="0074495D" w:rsidRDefault="0064182A" w:rsidP="0064182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предусмотренных законодательством особенностей организации и осуществления образовательной деятельности (для различных </w:t>
      </w:r>
      <w:proofErr w:type="gramStart"/>
      <w:r w:rsidRPr="0074495D">
        <w:rPr>
          <w:rFonts w:ascii="Times New Roman" w:hAnsi="Times New Roman"/>
          <w:sz w:val="28"/>
          <w:szCs w:val="28"/>
        </w:rPr>
        <w:t>категорий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  <w:proofErr w:type="gramEnd"/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</w:t>
      </w:r>
      <w:r w:rsidRPr="0074495D">
        <w:rPr>
          <w:rFonts w:ascii="Times New Roman" w:hAnsi="Times New Roman"/>
          <w:sz w:val="28"/>
          <w:szCs w:val="28"/>
        </w:rPr>
        <w:lastRenderedPageBreak/>
        <w:t>развитием сетевого взаимодействия для реализации основной образовательной программы общего образования.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64182A" w:rsidRPr="0074495D" w:rsidRDefault="0064182A" w:rsidP="0064182A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межбюджетные отношения (бюджет субъекта Российской Федерации – местный бюджет);</w:t>
      </w:r>
    </w:p>
    <w:p w:rsidR="0064182A" w:rsidRPr="0074495D" w:rsidRDefault="0064182A" w:rsidP="0064182A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внутрибюджетные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отношения (местный бюджет – муниципальная общеобразовательная организация);</w:t>
      </w:r>
    </w:p>
    <w:p w:rsidR="0064182A" w:rsidRPr="0074495D" w:rsidRDefault="0064182A" w:rsidP="0064182A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общеобразовательная организация.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64182A" w:rsidRPr="0074495D" w:rsidRDefault="0064182A" w:rsidP="0064182A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64182A" w:rsidRPr="0074495D" w:rsidRDefault="0064182A" w:rsidP="0064182A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74495D">
        <w:rPr>
          <w:rFonts w:ascii="Times New Roman" w:hAnsi="Times New Roman"/>
          <w:sz w:val="28"/>
          <w:szCs w:val="28"/>
        </w:rPr>
        <w:t>внутрибюджетных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отношений (местный бюджет – общеобразовательная организация) и общеобразовательной организации. 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При разработке программы образовательной организации в части обучения детей с ОВЗ,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  <w:proofErr w:type="gramEnd"/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</w:t>
      </w:r>
      <w:r w:rsidRPr="0074495D">
        <w:rPr>
          <w:rFonts w:ascii="Times New Roman" w:hAnsi="Times New Roman"/>
          <w:sz w:val="28"/>
          <w:szCs w:val="28"/>
        </w:rPr>
        <w:lastRenderedPageBreak/>
        <w:t>устанавливающим положение об оплате труда работников образовательной организации.</w:t>
      </w:r>
      <w:proofErr w:type="gramEnd"/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74495D">
        <w:rPr>
          <w:rFonts w:ascii="Times New Roman" w:hAnsi="Times New Roman"/>
          <w:sz w:val="28"/>
          <w:szCs w:val="28"/>
        </w:rPr>
        <w:t>: в соответствии с установленным порядком финансирования оплаты труда работников образовательных организаций:</w:t>
      </w:r>
    </w:p>
    <w:p w:rsidR="0064182A" w:rsidRPr="0074495D" w:rsidRDefault="0064182A" w:rsidP="0064182A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фонд оплаты труда образовательной организации состоит из базовой и стимулирующей частей.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Рекомендуемый диапазон стимулирующей доли фонда оплаты труда – от 20 до 40 %. Значение стимулирующей части определяется образовательной организацией самостоятельно;</w:t>
      </w:r>
    </w:p>
    <w:p w:rsidR="0064182A" w:rsidRPr="0074495D" w:rsidRDefault="0064182A" w:rsidP="0064182A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базовая часть фонда оплаты труда обеспечивает гарантированную заработную плату работников; </w:t>
      </w:r>
    </w:p>
    <w:p w:rsidR="0064182A" w:rsidRPr="0074495D" w:rsidRDefault="0064182A" w:rsidP="0064182A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рекомендуемое оптимальное значение объема фонда оплаты труда педагогического персонала – 70 % от общего объема фонда оплаты труда. </w:t>
      </w:r>
      <w:proofErr w:type="gramStart"/>
      <w:r w:rsidRPr="0074495D">
        <w:rPr>
          <w:rFonts w:ascii="Times New Roman" w:hAnsi="Times New Roman"/>
          <w:sz w:val="28"/>
          <w:szCs w:val="28"/>
        </w:rPr>
        <w:t>Значение или диапазон фонда оплаты труда педагогического персонала определяется самостоятельно образовательной организацией;</w:t>
      </w:r>
      <w:proofErr w:type="gramEnd"/>
    </w:p>
    <w:p w:rsidR="0064182A" w:rsidRPr="0074495D" w:rsidRDefault="0064182A" w:rsidP="0064182A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  <w:proofErr w:type="gramEnd"/>
    </w:p>
    <w:p w:rsidR="0064182A" w:rsidRPr="0074495D" w:rsidRDefault="0064182A" w:rsidP="0064182A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общая часть фонда оплаты труда обеспечивает гарантированную оплату труда педагогического работника.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74495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Образовательная организация самостоятельно определяет:</w:t>
      </w:r>
    </w:p>
    <w:p w:rsidR="0064182A" w:rsidRPr="0074495D" w:rsidRDefault="0064182A" w:rsidP="0064182A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соотношение базовой и стимулирующей части фонда оплаты труда;</w:t>
      </w:r>
    </w:p>
    <w:p w:rsidR="0064182A" w:rsidRPr="0074495D" w:rsidRDefault="0064182A" w:rsidP="0064182A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соотношение фонда оплаты труда руководящего, педагогического, </w:t>
      </w:r>
      <w:proofErr w:type="spellStart"/>
      <w:r w:rsidRPr="0074495D">
        <w:rPr>
          <w:rFonts w:ascii="Times New Roman" w:hAnsi="Times New Roman"/>
          <w:sz w:val="28"/>
          <w:szCs w:val="28"/>
        </w:rPr>
        <w:t>инженерно-технического</w:t>
      </w:r>
      <w:proofErr w:type="gramStart"/>
      <w:r w:rsidRPr="0074495D">
        <w:rPr>
          <w:rFonts w:ascii="Times New Roman" w:hAnsi="Times New Roman"/>
          <w:sz w:val="28"/>
          <w:szCs w:val="28"/>
        </w:rPr>
        <w:t>,а</w:t>
      </w:r>
      <w:proofErr w:type="gramEnd"/>
      <w:r w:rsidRPr="0074495D">
        <w:rPr>
          <w:rFonts w:ascii="Times New Roman" w:hAnsi="Times New Roman"/>
          <w:sz w:val="28"/>
          <w:szCs w:val="28"/>
        </w:rPr>
        <w:t>дминистративно-хозяйственного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производственного, </w:t>
      </w:r>
      <w:proofErr w:type="spellStart"/>
      <w:r w:rsidRPr="0074495D">
        <w:rPr>
          <w:rFonts w:ascii="Times New Roman" w:hAnsi="Times New Roman"/>
          <w:sz w:val="28"/>
          <w:szCs w:val="28"/>
        </w:rPr>
        <w:t>учебно-вспомогательногои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иного персонала;</w:t>
      </w:r>
    </w:p>
    <w:p w:rsidR="0064182A" w:rsidRPr="0074495D" w:rsidRDefault="0064182A" w:rsidP="0064182A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соотношение общей и специальной частей внутри базовой части фонда оплаты труда;</w:t>
      </w:r>
    </w:p>
    <w:p w:rsidR="0064182A" w:rsidRPr="0074495D" w:rsidRDefault="0064182A" w:rsidP="0064182A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74495D">
        <w:rPr>
          <w:rFonts w:ascii="Times New Roman" w:hAnsi="Times New Roman"/>
          <w:sz w:val="28"/>
          <w:szCs w:val="28"/>
        </w:rPr>
        <w:t>распределения стимулирующей части фонда оплаты труда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соответствии с региональными и муниципальными нормативными правовыми актами.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Для обеспечения требований ФГОС на основе проведенного </w:t>
      </w:r>
      <w:proofErr w:type="gramStart"/>
      <w:r w:rsidRPr="0074495D">
        <w:rPr>
          <w:rFonts w:ascii="Times New Roman" w:hAnsi="Times New Roman"/>
          <w:sz w:val="28"/>
          <w:szCs w:val="28"/>
        </w:rPr>
        <w:t>анализа материально-технических условий реализации образовательной программы основного общего образования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образовательная организация: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1) проводит экономический расчет стоимости обеспечения требований ФГОС;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основного общего образования;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3) определяет величину затрат на обеспечение требований к условиям реализации образовательной программы основного общего образования;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4) соотносит необходимые затраты с региональным (муниципальным)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образования;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5)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осуществляться:</w:t>
      </w:r>
    </w:p>
    <w:p w:rsidR="0064182A" w:rsidRPr="0074495D" w:rsidRDefault="0064182A" w:rsidP="0064182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64182A" w:rsidRPr="0074495D" w:rsidRDefault="0064182A" w:rsidP="0064182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64182A" w:rsidRPr="0074495D" w:rsidRDefault="0064182A" w:rsidP="0064182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№ 273-ФЗ «Об образовании в Российской Федерации»  (ст. 2, п. 10).</w:t>
      </w:r>
    </w:p>
    <w:p w:rsidR="0064182A" w:rsidRPr="0074495D" w:rsidRDefault="0064182A" w:rsidP="0064182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 соответствии с Федеральным законом «Об образовании в Российской Федерации» (ст. 2, п. 10).</w:t>
      </w:r>
    </w:p>
    <w:p w:rsidR="0064182A" w:rsidRPr="0074495D" w:rsidRDefault="0064182A" w:rsidP="0064182A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64182A" w:rsidRPr="0074495D" w:rsidRDefault="0064182A" w:rsidP="0064182A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2A" w:rsidRPr="0074495D" w:rsidRDefault="0064182A" w:rsidP="0064182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Определение нормативных затрат на оказание государственной услуги</w:t>
      </w:r>
    </w:p>
    <w:p w:rsidR="0064182A" w:rsidRPr="0074495D" w:rsidRDefault="0064182A" w:rsidP="0064182A">
      <w:pPr>
        <w:shd w:val="clear" w:color="auto" w:fill="FFFFFF"/>
        <w:tabs>
          <w:tab w:val="left" w:pos="10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Нормативные затраты на оказание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74495D">
        <w:rPr>
          <w:rFonts w:ascii="Times New Roman" w:hAnsi="Times New Roman"/>
          <w:sz w:val="28"/>
          <w:szCs w:val="28"/>
        </w:rPr>
        <w:t>-той государственной услуги на соответствующий финансовый год определяются по формуле:</w:t>
      </w:r>
    </w:p>
    <w:p w:rsidR="0064182A" w:rsidRPr="0074495D" w:rsidRDefault="0064182A" w:rsidP="0064182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56"/>
          <w:szCs w:val="56"/>
        </w:rPr>
      </w:pPr>
      <w:r w:rsidRPr="0074495D">
        <w:rPr>
          <w:rFonts w:ascii="Times New Roman" w:hAnsi="Times New Roman"/>
          <w:i/>
          <w:sz w:val="40"/>
          <w:szCs w:val="40"/>
        </w:rPr>
        <w:t>Р</w:t>
      </w:r>
      <w:proofErr w:type="spellStart"/>
      <w:proofErr w:type="gramStart"/>
      <w:r w:rsidRPr="0074495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gramEnd"/>
      <w:r w:rsidRPr="0074495D">
        <w:rPr>
          <w:rFonts w:ascii="Times New Roman" w:hAnsi="Times New Roman"/>
          <w:i/>
          <w:sz w:val="40"/>
          <w:szCs w:val="40"/>
          <w:vertAlign w:val="subscript"/>
        </w:rPr>
        <w:t>гу</w:t>
      </w:r>
      <w:r w:rsidRPr="0074495D">
        <w:rPr>
          <w:rFonts w:ascii="Times New Roman" w:hAnsi="Times New Roman"/>
          <w:bCs/>
          <w:sz w:val="28"/>
          <w:szCs w:val="28"/>
        </w:rPr>
        <w:t>=</w:t>
      </w:r>
      <w:proofErr w:type="spellEnd"/>
      <w:r w:rsidRPr="0074495D">
        <w:rPr>
          <w:rFonts w:ascii="Times New Roman" w:hAnsi="Times New Roman"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 w:rsidRPr="0074495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74495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74495D">
        <w:rPr>
          <w:rFonts w:ascii="Times New Roman" w:hAnsi="Times New Roman"/>
          <w:i/>
          <w:sz w:val="40"/>
          <w:szCs w:val="40"/>
          <w:vertAlign w:val="subscript"/>
        </w:rPr>
        <w:t xml:space="preserve"> ×</w:t>
      </w:r>
      <w:proofErr w:type="spellStart"/>
      <w:r w:rsidRPr="0074495D">
        <w:rPr>
          <w:rFonts w:ascii="Times New Roman" w:hAnsi="Times New Roman"/>
          <w:i/>
          <w:sz w:val="56"/>
          <w:szCs w:val="56"/>
          <w:vertAlign w:val="subscript"/>
          <w:lang w:val="en-US"/>
        </w:rPr>
        <w:t>k</w:t>
      </w:r>
      <w:r w:rsidRPr="0074495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4495D">
        <w:rPr>
          <w:rFonts w:ascii="Times New Roman" w:hAnsi="Times New Roman"/>
          <w:sz w:val="28"/>
          <w:szCs w:val="28"/>
        </w:rPr>
        <w:t>где:</w:t>
      </w:r>
    </w:p>
    <w:p w:rsidR="0064182A" w:rsidRPr="0074495D" w:rsidRDefault="0064182A" w:rsidP="006418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</w:t>
      </w:r>
      <w:proofErr w:type="spellStart"/>
      <w:proofErr w:type="gramStart"/>
      <w:r w:rsidRPr="0074495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gramEnd"/>
      <w:r w:rsidRPr="0074495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bCs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 xml:space="preserve">ормативные затраты на оказание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74495D">
        <w:rPr>
          <w:rFonts w:ascii="Times New Roman" w:hAnsi="Times New Roman"/>
          <w:sz w:val="28"/>
          <w:szCs w:val="28"/>
        </w:rPr>
        <w:t>-той государственной услуги на соответствующий финансовый год;</w:t>
      </w:r>
    </w:p>
    <w:p w:rsidR="0064182A" w:rsidRPr="0074495D" w:rsidRDefault="0064182A" w:rsidP="006418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74495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spellStart"/>
      <w:r w:rsidRPr="0074495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 на оказание единицы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74495D"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64182A" w:rsidRPr="0074495D" w:rsidRDefault="0064182A" w:rsidP="006418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95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74495D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t</w:t>
      </w:r>
      <w:proofErr w:type="spellEnd"/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объем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74495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64182A" w:rsidRPr="0074495D" w:rsidRDefault="0064182A" w:rsidP="0064182A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Нормативные затраты на оказание единицы </w:t>
      </w:r>
      <w:proofErr w:type="spellStart"/>
      <w:r w:rsidRPr="0074495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4495D"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 определяются по формуле:</w:t>
      </w:r>
    </w:p>
    <w:p w:rsidR="0064182A" w:rsidRPr="0074495D" w:rsidRDefault="0064182A" w:rsidP="0064182A">
      <w:pPr>
        <w:shd w:val="clear" w:color="auto" w:fill="FFFFFF"/>
        <w:tabs>
          <w:tab w:val="left" w:pos="994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 w:rsidRPr="0074495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74495D">
        <w:rPr>
          <w:rFonts w:ascii="Times New Roman" w:hAnsi="Times New Roman"/>
          <w:i/>
          <w:sz w:val="40"/>
          <w:szCs w:val="40"/>
          <w:vertAlign w:val="subscript"/>
        </w:rPr>
        <w:t>очр=</w:t>
      </w:r>
      <w:proofErr w:type="spellEnd"/>
      <w:r w:rsidRPr="0074495D"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 w:rsidRPr="0074495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74495D">
        <w:rPr>
          <w:rFonts w:ascii="Times New Roman" w:hAnsi="Times New Roman"/>
          <w:i/>
          <w:sz w:val="40"/>
          <w:szCs w:val="40"/>
          <w:vertAlign w:val="subscript"/>
        </w:rPr>
        <w:t>гу+</w:t>
      </w:r>
      <w:proofErr w:type="spellEnd"/>
      <w:r w:rsidRPr="0074495D"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proofErr w:type="spellStart"/>
      <w:r w:rsidRPr="0074495D">
        <w:rPr>
          <w:rFonts w:ascii="Times New Roman" w:hAnsi="Times New Roman"/>
          <w:i/>
          <w:sz w:val="40"/>
          <w:szCs w:val="40"/>
          <w:vertAlign w:val="subscript"/>
        </w:rPr>
        <w:t>он</w:t>
      </w:r>
      <w:proofErr w:type="gramStart"/>
      <w:r w:rsidRPr="0074495D">
        <w:rPr>
          <w:rFonts w:ascii="Times New Roman" w:hAnsi="Times New Roman"/>
          <w:i/>
          <w:iCs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>где</w:t>
      </w:r>
      <w:proofErr w:type="spellEnd"/>
      <w:proofErr w:type="gramEnd"/>
    </w:p>
    <w:p w:rsidR="0064182A" w:rsidRPr="0074495D" w:rsidRDefault="0064182A" w:rsidP="006418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74495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74495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74495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74495D">
        <w:rPr>
          <w:rFonts w:ascii="Times New Roman" w:hAnsi="Times New Roman"/>
          <w:bCs/>
          <w:sz w:val="28"/>
          <w:szCs w:val="28"/>
        </w:rPr>
        <w:t xml:space="preserve">– </w:t>
      </w:r>
      <w:r w:rsidRPr="0074495D">
        <w:rPr>
          <w:rFonts w:ascii="Times New Roman" w:hAnsi="Times New Roman"/>
          <w:sz w:val="28"/>
          <w:szCs w:val="28"/>
        </w:rPr>
        <w:t xml:space="preserve">нормативные затраты на оказание единицы </w:t>
      </w:r>
      <w:proofErr w:type="spellStart"/>
      <w:r w:rsidRPr="0074495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4495D"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64182A" w:rsidRPr="0074495D" w:rsidRDefault="0064182A" w:rsidP="006418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proofErr w:type="spellStart"/>
      <w:r w:rsidRPr="0074495D">
        <w:rPr>
          <w:rFonts w:ascii="Times New Roman" w:hAnsi="Times New Roman"/>
          <w:i/>
          <w:sz w:val="28"/>
          <w:szCs w:val="28"/>
          <w:vertAlign w:val="subscript"/>
        </w:rPr>
        <w:t>гу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>нормативные затраты, непосредственно связанные с оказанием государственной услуги;</w:t>
      </w:r>
    </w:p>
    <w:p w:rsidR="0064182A" w:rsidRPr="0074495D" w:rsidRDefault="0064182A" w:rsidP="006418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4495D">
        <w:rPr>
          <w:rFonts w:ascii="Times New Roman" w:hAnsi="Times New Roman"/>
          <w:i/>
          <w:sz w:val="28"/>
          <w:szCs w:val="28"/>
          <w:vertAlign w:val="subscript"/>
        </w:rPr>
        <w:t>он</w:t>
      </w:r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 на общехозяйственные нужды.</w:t>
      </w:r>
      <w:proofErr w:type="gramEnd"/>
    </w:p>
    <w:p w:rsidR="0064182A" w:rsidRPr="0074495D" w:rsidRDefault="0064182A" w:rsidP="0064182A">
      <w:pPr>
        <w:shd w:val="clear" w:color="auto" w:fill="FFFFFF"/>
        <w:tabs>
          <w:tab w:val="left" w:pos="105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затраты, непосредственно связанные с оказанием</w:t>
      </w:r>
      <w:r w:rsidRPr="0074495D">
        <w:rPr>
          <w:rFonts w:ascii="Times New Roman" w:hAnsi="Times New Roman"/>
          <w:sz w:val="28"/>
          <w:szCs w:val="28"/>
        </w:rPr>
        <w:br/>
        <w:t>государственной услуги на соответствующий финансовый год определяется по формуле:</w:t>
      </w:r>
    </w:p>
    <w:p w:rsidR="0064182A" w:rsidRPr="0074495D" w:rsidRDefault="0064182A" w:rsidP="0064182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proofErr w:type="spellStart"/>
      <w:r w:rsidRPr="0074495D">
        <w:rPr>
          <w:rFonts w:ascii="Times New Roman" w:hAnsi="Times New Roman"/>
          <w:sz w:val="40"/>
          <w:szCs w:val="40"/>
          <w:vertAlign w:val="subscript"/>
        </w:rPr>
        <w:t>гу</w:t>
      </w:r>
      <w:r w:rsidRPr="0074495D">
        <w:rPr>
          <w:rFonts w:ascii="Times New Roman" w:hAnsi="Times New Roman"/>
          <w:i/>
          <w:iCs/>
          <w:sz w:val="28"/>
          <w:szCs w:val="28"/>
        </w:rPr>
        <w:t>=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iCs/>
          <w:sz w:val="40"/>
          <w:szCs w:val="40"/>
          <w:lang w:val="en-US"/>
        </w:rPr>
        <w:t>N</w:t>
      </w:r>
      <w:r w:rsidRPr="0074495D">
        <w:rPr>
          <w:rFonts w:ascii="Times New Roman" w:hAnsi="Times New Roman"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74495D">
        <w:rPr>
          <w:rFonts w:ascii="Times New Roman" w:hAnsi="Times New Roman"/>
          <w:i/>
          <w:iCs/>
          <w:sz w:val="40"/>
          <w:szCs w:val="40"/>
          <w:vertAlign w:val="subscript"/>
        </w:rPr>
        <w:t>тгу</w:t>
      </w:r>
      <w:proofErr w:type="spellEnd"/>
      <w:r w:rsidRPr="0074495D">
        <w:rPr>
          <w:rFonts w:ascii="Times New Roman" w:hAnsi="Times New Roman"/>
          <w:i/>
          <w:iCs/>
          <w:sz w:val="40"/>
          <w:szCs w:val="40"/>
          <w:vertAlign w:val="subscript"/>
        </w:rPr>
        <w:t xml:space="preserve"> +</w:t>
      </w:r>
      <w:proofErr w:type="spellStart"/>
      <w:proofErr w:type="gramStart"/>
      <w:r w:rsidRPr="0074495D">
        <w:rPr>
          <w:rFonts w:ascii="Times New Roman" w:hAnsi="Times New Roman"/>
          <w:i/>
          <w:iCs/>
          <w:sz w:val="40"/>
          <w:szCs w:val="40"/>
          <w:lang w:val="en-US"/>
        </w:rPr>
        <w:t>N</w:t>
      </w:r>
      <w:r w:rsidRPr="0074495D">
        <w:rPr>
          <w:rFonts w:ascii="Times New Roman" w:hAnsi="Times New Roman"/>
          <w:i/>
          <w:iCs/>
          <w:sz w:val="40"/>
          <w:szCs w:val="40"/>
          <w:vertAlign w:val="subscript"/>
          <w:lang w:val="en-US"/>
        </w:rPr>
        <w:t>yp</w:t>
      </w:r>
      <w:proofErr w:type="spellEnd"/>
      <w:proofErr w:type="gramEnd"/>
      <w:r w:rsidRPr="0074495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4495D">
        <w:rPr>
          <w:rFonts w:ascii="Times New Roman" w:hAnsi="Times New Roman"/>
          <w:sz w:val="28"/>
          <w:szCs w:val="28"/>
        </w:rPr>
        <w:t>где</w:t>
      </w:r>
    </w:p>
    <w:p w:rsidR="0064182A" w:rsidRPr="0074495D" w:rsidRDefault="0064182A" w:rsidP="006418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  <w:lang w:val="en-US"/>
        </w:rPr>
        <w:lastRenderedPageBreak/>
        <w:t>N</w:t>
      </w:r>
      <w:proofErr w:type="spellStart"/>
      <w:r w:rsidRPr="0074495D">
        <w:rPr>
          <w:rFonts w:ascii="Times New Roman" w:hAnsi="Times New Roman"/>
          <w:i/>
          <w:sz w:val="28"/>
          <w:szCs w:val="28"/>
          <w:vertAlign w:val="subscript"/>
        </w:rPr>
        <w:t>гу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затраты, непосредственно связанные с оказанием</w:t>
      </w:r>
      <w:r w:rsidRPr="0074495D">
        <w:rPr>
          <w:rFonts w:ascii="Times New Roman" w:hAnsi="Times New Roman"/>
          <w:sz w:val="28"/>
          <w:szCs w:val="28"/>
        </w:rPr>
        <w:br/>
        <w:t>государственной услуги на соответствующий финансовый год;</w:t>
      </w:r>
    </w:p>
    <w:p w:rsidR="0064182A" w:rsidRPr="0074495D" w:rsidRDefault="0064182A" w:rsidP="006418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74495D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om</w:t>
      </w:r>
      <w:r w:rsidRPr="0074495D">
        <w:rPr>
          <w:rFonts w:ascii="Times New Roman" w:hAnsi="Times New Roman"/>
          <w:i/>
          <w:iCs/>
          <w:sz w:val="28"/>
          <w:szCs w:val="28"/>
          <w:vertAlign w:val="subscript"/>
        </w:rPr>
        <w:t>г</w:t>
      </w:r>
      <w:r w:rsidRPr="0074495D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y</w:t>
      </w:r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</w:t>
      </w:r>
      <w:proofErr w:type="spellStart"/>
      <w:r w:rsidRPr="0074495D">
        <w:rPr>
          <w:rFonts w:ascii="Times New Roman" w:hAnsi="Times New Roman"/>
          <w:sz w:val="28"/>
          <w:szCs w:val="28"/>
        </w:rPr>
        <w:t>затратына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оплату труда и начисления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навыплаты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 оплате труда персонала, принимающего непосредственное участие в оказании государственной услуги;</w:t>
      </w:r>
    </w:p>
    <w:p w:rsidR="0064182A" w:rsidRPr="0074495D" w:rsidRDefault="0064182A" w:rsidP="006418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4495D">
        <w:rPr>
          <w:rFonts w:ascii="Times New Roman" w:hAnsi="Times New Roman"/>
          <w:i/>
          <w:sz w:val="28"/>
          <w:szCs w:val="28"/>
          <w:vertAlign w:val="subscript"/>
          <w:lang w:val="en-US"/>
        </w:rPr>
        <w:t>yp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 на расходные материалы в соответствии со стандартами качества оказания услуги.</w:t>
      </w:r>
      <w:proofErr w:type="gramEnd"/>
    </w:p>
    <w:p w:rsidR="0064182A" w:rsidRPr="0074495D" w:rsidRDefault="0064182A" w:rsidP="006418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</w:t>
      </w:r>
    </w:p>
    <w:p w:rsidR="0064182A" w:rsidRPr="0074495D" w:rsidRDefault="0064182A" w:rsidP="006418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времени, необходимых для оказания единицы государственной услуги, с учетом стимулирующих выплат 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работу в районах Крайнего Севера и приравненных к ним местностях, установленных законодательством.</w:t>
      </w:r>
    </w:p>
    <w:p w:rsidR="0064182A" w:rsidRPr="0074495D" w:rsidRDefault="0064182A" w:rsidP="0064182A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расходные материалы в соответствии со</w:t>
      </w:r>
      <w:r w:rsidRPr="0074495D">
        <w:rPr>
          <w:rFonts w:ascii="Times New Roman" w:hAnsi="Times New Roman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74495D">
        <w:rPr>
          <w:rFonts w:ascii="Times New Roman" w:hAnsi="Times New Roman"/>
          <w:sz w:val="28"/>
          <w:szCs w:val="28"/>
        </w:rPr>
        <w:br/>
        <w:t>стоимости учебных материалов на их количество, необходимое для оказания</w:t>
      </w:r>
      <w:r w:rsidRPr="0074495D">
        <w:rPr>
          <w:rFonts w:ascii="Times New Roman" w:hAnsi="Times New Roman"/>
          <w:sz w:val="28"/>
          <w:szCs w:val="28"/>
        </w:rPr>
        <w:br/>
        <w:t>единицы государственной услуги (выполнения работ)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основного общего образования: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реализация образовательных программ основного общего образования может определяться по формуле:</w:t>
      </w:r>
    </w:p>
    <w:p w:rsidR="0064182A" w:rsidRPr="0074495D" w:rsidRDefault="0064182A" w:rsidP="0064182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proofErr w:type="spellStart"/>
      <w:r w:rsidRPr="0074495D">
        <w:rPr>
          <w:rFonts w:ascii="Times New Roman" w:hAnsi="Times New Roman"/>
          <w:bCs/>
          <w:i/>
          <w:sz w:val="28"/>
          <w:szCs w:val="28"/>
          <w:vertAlign w:val="subscript"/>
        </w:rPr>
        <w:t>отгу</w:t>
      </w:r>
      <w:proofErr w:type="spellEnd"/>
      <w:r w:rsidRPr="0074495D">
        <w:rPr>
          <w:rFonts w:ascii="Times New Roman" w:hAnsi="Times New Roman"/>
          <w:bCs/>
          <w:i/>
          <w:sz w:val="28"/>
          <w:szCs w:val="28"/>
        </w:rPr>
        <w:t xml:space="preserve"> = </w:t>
      </w:r>
      <w:proofErr w:type="spellStart"/>
      <w:r w:rsidRPr="0074495D">
        <w:rPr>
          <w:rFonts w:ascii="Times New Roman" w:hAnsi="Times New Roman"/>
          <w:bCs/>
          <w:i/>
          <w:sz w:val="28"/>
          <w:szCs w:val="28"/>
          <w:lang w:val="en-US"/>
        </w:rPr>
        <w:t>W</w:t>
      </w:r>
      <w:r w:rsidRPr="0074495D">
        <w:rPr>
          <w:rFonts w:ascii="Times New Roman" w:hAnsi="Times New Roman"/>
          <w:bCs/>
          <w:i/>
          <w:sz w:val="28"/>
          <w:szCs w:val="28"/>
          <w:vertAlign w:val="subscript"/>
          <w:lang w:val="en-US"/>
        </w:rPr>
        <w:t>er</w:t>
      </w:r>
      <w:proofErr w:type="spellEnd"/>
      <w:r w:rsidRPr="0074495D">
        <w:rPr>
          <w:rFonts w:ascii="Times New Roman" w:hAnsi="Times New Roman"/>
          <w:bCs/>
          <w:i/>
          <w:sz w:val="28"/>
          <w:szCs w:val="28"/>
        </w:rPr>
        <w:t>× 12 × К</w:t>
      </w:r>
      <w:r w:rsidRPr="0074495D">
        <w:rPr>
          <w:rFonts w:ascii="Times New Roman" w:hAnsi="Times New Roman"/>
          <w:bCs/>
          <w:i/>
          <w:sz w:val="28"/>
          <w:szCs w:val="28"/>
          <w:vertAlign w:val="superscript"/>
        </w:rPr>
        <w:t>1</w:t>
      </w:r>
      <w:r w:rsidRPr="0074495D">
        <w:rPr>
          <w:rFonts w:ascii="Times New Roman" w:hAnsi="Times New Roman"/>
          <w:bCs/>
          <w:i/>
          <w:sz w:val="28"/>
          <w:szCs w:val="28"/>
        </w:rPr>
        <w:t>× К</w:t>
      </w:r>
      <w:r w:rsidRPr="0074495D">
        <w:rPr>
          <w:rFonts w:ascii="Times New Roman" w:hAnsi="Times New Roman"/>
          <w:bCs/>
          <w:i/>
          <w:sz w:val="28"/>
          <w:szCs w:val="28"/>
          <w:vertAlign w:val="superscript"/>
        </w:rPr>
        <w:t>2</w:t>
      </w:r>
      <w:r w:rsidRPr="0074495D">
        <w:rPr>
          <w:rFonts w:ascii="Times New Roman" w:hAnsi="Times New Roman"/>
          <w:bCs/>
          <w:i/>
          <w:sz w:val="28"/>
          <w:szCs w:val="28"/>
        </w:rPr>
        <w:t>× К</w:t>
      </w:r>
      <w:r w:rsidRPr="0074495D">
        <w:rPr>
          <w:rFonts w:ascii="Times New Roman" w:hAnsi="Times New Roman"/>
          <w:bCs/>
          <w:i/>
          <w:sz w:val="28"/>
          <w:szCs w:val="28"/>
          <w:vertAlign w:val="superscript"/>
        </w:rPr>
        <w:t>3</w:t>
      </w:r>
      <w:proofErr w:type="gramStart"/>
      <w:r w:rsidRPr="0074495D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bCs/>
          <w:iCs/>
          <w:sz w:val="28"/>
          <w:szCs w:val="28"/>
        </w:rPr>
        <w:t>где</w:t>
      </w:r>
      <w:proofErr w:type="gramEnd"/>
      <w:r w:rsidRPr="0074495D">
        <w:rPr>
          <w:rFonts w:ascii="Times New Roman" w:hAnsi="Times New Roman"/>
          <w:bCs/>
          <w:iCs/>
          <w:sz w:val="28"/>
          <w:szCs w:val="28"/>
        </w:rPr>
        <w:t>: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proofErr w:type="spellStart"/>
      <w:r w:rsidRPr="0074495D">
        <w:rPr>
          <w:rFonts w:ascii="Times New Roman" w:hAnsi="Times New Roman"/>
          <w:bCs/>
          <w:i/>
          <w:sz w:val="28"/>
          <w:szCs w:val="28"/>
          <w:vertAlign w:val="subscript"/>
        </w:rPr>
        <w:t>отгу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bCs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основного общего образования;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95D">
        <w:rPr>
          <w:rFonts w:ascii="Times New Roman" w:hAnsi="Times New Roman"/>
          <w:bCs/>
          <w:i/>
          <w:iCs/>
          <w:sz w:val="28"/>
          <w:szCs w:val="28"/>
          <w:lang w:val="en-US"/>
        </w:rPr>
        <w:t>W</w:t>
      </w:r>
      <w:r w:rsidRPr="0074495D">
        <w:rPr>
          <w:rFonts w:ascii="Times New Roman" w:hAnsi="Times New Roman"/>
          <w:bCs/>
          <w:i/>
          <w:iCs/>
          <w:sz w:val="28"/>
          <w:szCs w:val="28"/>
          <w:vertAlign w:val="subscript"/>
          <w:lang w:val="en-US"/>
        </w:rPr>
        <w:t>er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– </w:t>
      </w:r>
      <w:r w:rsidRPr="0074495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году, руб.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/мес.;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74495D">
        <w:rPr>
          <w:rFonts w:ascii="Times New Roman" w:hAnsi="Times New Roman"/>
          <w:i/>
          <w:sz w:val="28"/>
          <w:szCs w:val="28"/>
        </w:rPr>
        <w:t xml:space="preserve">– </w:t>
      </w:r>
      <w:r w:rsidRPr="0074495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64182A" w:rsidRPr="0074495D" w:rsidRDefault="0064182A" w:rsidP="0064182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K</w:t>
      </w:r>
      <w:r w:rsidRPr="0074495D"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Pr="0074495D">
        <w:rPr>
          <w:rFonts w:ascii="Times New Roman" w:hAnsi="Times New Roman"/>
          <w:i/>
          <w:sz w:val="28"/>
          <w:szCs w:val="28"/>
        </w:rPr>
        <w:t xml:space="preserve"> – </w:t>
      </w:r>
      <w:r w:rsidRPr="0074495D">
        <w:rPr>
          <w:rFonts w:ascii="Times New Roman" w:hAnsi="Times New Roman"/>
          <w:sz w:val="28"/>
          <w:szCs w:val="28"/>
        </w:rPr>
        <w:t xml:space="preserve">коэффициент, учитывающий специфику образовательной программы или категорию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(при их наличии);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 w:rsidRPr="0074495D"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 w:rsidRPr="0074495D">
        <w:rPr>
          <w:rFonts w:ascii="Times New Roman" w:hAnsi="Times New Roman"/>
          <w:i/>
          <w:sz w:val="28"/>
          <w:szCs w:val="28"/>
        </w:rPr>
        <w:t xml:space="preserve">– </w:t>
      </w:r>
      <w:r w:rsidRPr="0074495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Значение коэффициента – 1,302;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 w:rsidRPr="0074495D"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3</w:t>
      </w:r>
      <w:r w:rsidRPr="0074495D">
        <w:rPr>
          <w:rFonts w:ascii="Times New Roman" w:hAnsi="Times New Roman"/>
          <w:i/>
          <w:sz w:val="28"/>
          <w:szCs w:val="28"/>
        </w:rPr>
        <w:t xml:space="preserve">– </w:t>
      </w:r>
      <w:r w:rsidRPr="0074495D">
        <w:rPr>
          <w:rFonts w:ascii="Times New Roman" w:hAnsi="Times New Roman"/>
          <w:sz w:val="28"/>
          <w:szCs w:val="28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 и к нормативным затратам на содержание имущества. Нормативные затраты на общехозяйственные нужды определяются по формуле</w:t>
      </w:r>
      <w:proofErr w:type="gramStart"/>
      <w:r w:rsidRPr="0074495D">
        <w:rPr>
          <w:rFonts w:ascii="Times New Roman" w:hAnsi="Times New Roman"/>
          <w:sz w:val="28"/>
          <w:szCs w:val="28"/>
        </w:rPr>
        <w:t>:</w:t>
      </w:r>
      <w:proofErr w:type="gramEnd"/>
    </w:p>
    <w:p w:rsidR="0064182A" w:rsidRPr="0074495D" w:rsidRDefault="0064182A" w:rsidP="0064182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28600"/>
            <wp:effectExtent l="19050" t="0" r="9525" b="0"/>
            <wp:docPr id="1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sz w:val="28"/>
          <w:szCs w:val="28"/>
        </w:rPr>
        <w:t>, где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28600"/>
            <wp:effectExtent l="19050" t="0" r="9525" b="0"/>
            <wp:docPr id="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74495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</w:t>
      </w:r>
      <w:r w:rsidRPr="0074495D">
        <w:rPr>
          <w:rFonts w:ascii="Times New Roman" w:hAnsi="Times New Roman"/>
          <w:sz w:val="28"/>
          <w:szCs w:val="28"/>
        </w:rPr>
        <w:lastRenderedPageBreak/>
        <w:t>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услуги);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4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затраты на содержание недвижимого имущества);</w:t>
      </w:r>
      <w:proofErr w:type="gramEnd"/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7175" cy="228600"/>
            <wp:effectExtent l="19050" t="0" r="9525" b="0"/>
            <wp:docPr id="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затраты на содержание особо ценного движимого имущества);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6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 на приобретение услуг связи;</w:t>
      </w:r>
    </w:p>
    <w:p w:rsidR="0064182A" w:rsidRPr="0074495D" w:rsidRDefault="0064182A" w:rsidP="0064182A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 на приобретение транспортных услуг;</w:t>
      </w:r>
    </w:p>
    <w:p w:rsidR="0064182A" w:rsidRPr="0074495D" w:rsidRDefault="0064182A" w:rsidP="0064182A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8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прочие нормативные затраты на общехозяйственные нужды.</w:t>
      </w:r>
    </w:p>
    <w:p w:rsidR="0064182A" w:rsidRPr="0074495D" w:rsidRDefault="0064182A" w:rsidP="0064182A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</w:t>
      </w:r>
      <w:r w:rsidRPr="0074495D">
        <w:rPr>
          <w:rFonts w:ascii="Times New Roman" w:hAnsi="Times New Roman"/>
          <w:sz w:val="28"/>
          <w:szCs w:val="28"/>
        </w:rPr>
        <w:lastRenderedPageBreak/>
        <w:t>действующей системы, оплаты труда, в пределах фонда оплаты труда, установленного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образовательной организации учредителем.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энергии;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энергии. В 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64182A" w:rsidRPr="0074495D" w:rsidRDefault="0064182A" w:rsidP="0064182A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эксплуатацию системы охранной сигнализации и противопожарной безопасности;</w:t>
      </w:r>
    </w:p>
    <w:p w:rsidR="0064182A" w:rsidRPr="0074495D" w:rsidRDefault="0064182A" w:rsidP="0064182A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аренду недвижимого имущества;</w:t>
      </w:r>
    </w:p>
    <w:p w:rsidR="0064182A" w:rsidRPr="0074495D" w:rsidRDefault="0064182A" w:rsidP="0064182A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проведение текущего ремонта объектов недвижимого имущества;</w:t>
      </w:r>
    </w:p>
    <w:p w:rsidR="0064182A" w:rsidRPr="0074495D" w:rsidRDefault="0064182A" w:rsidP="0064182A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64182A" w:rsidRPr="0074495D" w:rsidRDefault="0064182A" w:rsidP="0064182A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прочие нормативные затраты на содержание недвижимого имущества.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Нормативные затраты на эксплуатацию систем охранной сигнализации и противопожарной безопасности устанавливаются таким образом, чтобы </w:t>
      </w:r>
      <w:r w:rsidRPr="0074495D">
        <w:rPr>
          <w:rFonts w:ascii="Times New Roman" w:hAnsi="Times New Roman"/>
          <w:sz w:val="28"/>
          <w:szCs w:val="28"/>
        </w:rPr>
        <w:lastRenderedPageBreak/>
        <w:t>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64182A" w:rsidRPr="0074495D" w:rsidRDefault="0064182A" w:rsidP="0064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816" w:rsidRDefault="000B2816"/>
    <w:sectPr w:rsidR="000B2816" w:rsidSect="000B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82A"/>
    <w:rsid w:val="000B2816"/>
    <w:rsid w:val="0064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2A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641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64182A"/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a3">
    <w:name w:val="List Paragraph"/>
    <w:basedOn w:val="a"/>
    <w:link w:val="a4"/>
    <w:uiPriority w:val="99"/>
    <w:qFormat/>
    <w:rsid w:val="0064182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64182A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3061</Words>
  <Characters>17450</Characters>
  <Application>Microsoft Office Word</Application>
  <DocSecurity>0</DocSecurity>
  <Lines>145</Lines>
  <Paragraphs>40</Paragraphs>
  <ScaleCrop>false</ScaleCrop>
  <Company/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2016-01-13T06:28:00Z</dcterms:created>
  <dcterms:modified xsi:type="dcterms:W3CDTF">2016-01-13T06:28:00Z</dcterms:modified>
</cp:coreProperties>
</file>